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24" w:rsidRPr="00EE4651" w:rsidRDefault="007E4C24" w:rsidP="007E4C24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AE111A" w:rsidRPr="00AE111A" w:rsidRDefault="00AE111A" w:rsidP="00AE111A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8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 w:rsidRPr="00AE111A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1 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 xml:space="preserve">學期 </w:t>
      </w: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八</w:t>
      </w:r>
      <w:r w:rsidRPr="00AE111A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AE111A">
        <w:rPr>
          <w:rFonts w:ascii="標楷體" w:eastAsia="標楷體" w:hAnsi="標楷體" w:hint="eastAsia"/>
          <w:b/>
          <w:sz w:val="28"/>
          <w:szCs w:val="36"/>
        </w:rPr>
        <w:t xml:space="preserve">彈性學習 </w:t>
      </w:r>
      <w:r w:rsidRPr="00AE111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共群生活 </w:t>
      </w:r>
      <w:r w:rsidRPr="00AE111A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7E4C24" w:rsidRPr="00EE4651" w:rsidRDefault="007E4C24" w:rsidP="007E4C24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="008322F9" w:rsidRPr="00912890">
        <w:rPr>
          <w:rFonts w:ascii="標楷體" w:eastAsia="標楷體" w:hAnsi="標楷體" w:hint="eastAsia"/>
          <w:color w:val="000000"/>
          <w:szCs w:val="20"/>
          <w:u w:val="single"/>
        </w:rPr>
        <w:t>張</w:t>
      </w:r>
      <w:r w:rsidR="008322F9">
        <w:rPr>
          <w:rFonts w:ascii="標楷體" w:eastAsia="標楷體" w:hAnsi="標楷體" w:hint="eastAsia"/>
          <w:color w:val="000000"/>
          <w:szCs w:val="20"/>
          <w:u w:val="single"/>
        </w:rPr>
        <w:t>○</w:t>
      </w:r>
      <w:r w:rsidR="008322F9" w:rsidRPr="00912890">
        <w:rPr>
          <w:rFonts w:ascii="標楷體" w:eastAsia="標楷體" w:hAnsi="標楷體" w:hint="eastAsia"/>
          <w:color w:val="000000"/>
          <w:szCs w:val="20"/>
          <w:u w:val="single"/>
        </w:rPr>
        <w:t>榮</w:t>
      </w:r>
      <w:r w:rsidR="008322F9" w:rsidRPr="00EE4651">
        <w:rPr>
          <w:rFonts w:ascii="標楷體" w:eastAsia="標楷體" w:hint="eastAsia"/>
          <w:b/>
          <w:color w:val="000000"/>
          <w:szCs w:val="28"/>
        </w:rPr>
        <w:t>、</w:t>
      </w:r>
      <w:r w:rsidR="008322F9" w:rsidRPr="00A7256E">
        <w:rPr>
          <w:rFonts w:ascii="標楷體" w:eastAsia="標楷體" w:hint="eastAsia"/>
          <w:color w:val="000000"/>
          <w:szCs w:val="28"/>
          <w:u w:val="single"/>
        </w:rPr>
        <w:t>羅</w:t>
      </w:r>
      <w:r w:rsidR="008322F9">
        <w:rPr>
          <w:rFonts w:ascii="標楷體" w:eastAsia="標楷體" w:hint="eastAsia"/>
          <w:color w:val="000000"/>
          <w:szCs w:val="28"/>
          <w:u w:val="single"/>
        </w:rPr>
        <w:t>○</w:t>
      </w:r>
      <w:r w:rsidR="008322F9" w:rsidRPr="00A7256E">
        <w:rPr>
          <w:rFonts w:ascii="標楷體" w:eastAsia="標楷體" w:hint="eastAsia"/>
          <w:color w:val="000000"/>
          <w:szCs w:val="28"/>
          <w:u w:val="single"/>
        </w:rPr>
        <w:t>美</w:t>
      </w:r>
      <w:r w:rsidR="008322F9"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</w:p>
    <w:p w:rsidR="00AE111A" w:rsidRPr="00AE111A" w:rsidRDefault="00AE111A" w:rsidP="00AE111A">
      <w:pPr>
        <w:numPr>
          <w:ilvl w:val="0"/>
          <w:numId w:val="7"/>
        </w:numPr>
        <w:rPr>
          <w:rFonts w:ascii="標楷體" w:eastAsia="標楷體" w:hAnsi="標楷體"/>
          <w:b/>
          <w:color w:val="000000"/>
          <w:szCs w:val="22"/>
        </w:rPr>
      </w:pPr>
      <w:r w:rsidRPr="00AE111A">
        <w:rPr>
          <w:rFonts w:ascii="標楷體" w:eastAsia="標楷體" w:hAnsi="標楷體" w:hint="eastAsia"/>
          <w:b/>
          <w:color w:val="000000"/>
          <w:szCs w:val="22"/>
        </w:rPr>
        <w:t>本學期學習目標</w:t>
      </w:r>
    </w:p>
    <w:p w:rsidR="00AE111A" w:rsidRPr="00AE111A" w:rsidRDefault="00AE111A" w:rsidP="00AE111A">
      <w:pPr>
        <w:numPr>
          <w:ilvl w:val="1"/>
          <w:numId w:val="2"/>
        </w:numPr>
        <w:tabs>
          <w:tab w:val="clear" w:pos="840"/>
          <w:tab w:val="num" w:pos="1211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  <w:color w:val="000000"/>
        </w:rPr>
      </w:pPr>
      <w:r w:rsidRPr="00AE111A">
        <w:rPr>
          <w:rFonts w:ascii="標楷體" w:eastAsia="標楷體" w:hAnsi="標楷體" w:hint="eastAsia"/>
        </w:rPr>
        <w:t>認識「政治」的意涵及「政治學」的主要功能</w:t>
      </w:r>
      <w:r w:rsidRPr="00AE111A">
        <w:rPr>
          <w:rFonts w:ascii="標楷體" w:eastAsia="標楷體" w:hAnsi="標楷體"/>
        </w:rPr>
        <w:t>。</w:t>
      </w:r>
    </w:p>
    <w:p w:rsidR="00AE111A" w:rsidRPr="00AE111A" w:rsidRDefault="00AE111A" w:rsidP="00AE111A">
      <w:pPr>
        <w:numPr>
          <w:ilvl w:val="1"/>
          <w:numId w:val="2"/>
        </w:numPr>
        <w:tabs>
          <w:tab w:val="clear" w:pos="840"/>
          <w:tab w:val="num" w:pos="1211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  <w:color w:val="000000"/>
        </w:rPr>
      </w:pPr>
      <w:r w:rsidRPr="00AE111A">
        <w:rPr>
          <w:rFonts w:ascii="標楷體" w:eastAsia="標楷體" w:hAnsi="標楷體"/>
        </w:rPr>
        <w:t>明瞭</w:t>
      </w:r>
      <w:r w:rsidRPr="00AE111A">
        <w:rPr>
          <w:rFonts w:ascii="標楷體" w:eastAsia="標楷體" w:hAnsi="標楷體" w:hint="eastAsia"/>
        </w:rPr>
        <w:t>「民族」與「民族主義」的簡要意義及其影響</w:t>
      </w:r>
      <w:r w:rsidRPr="00AE111A">
        <w:rPr>
          <w:rFonts w:ascii="標楷體" w:eastAsia="標楷體" w:hAnsi="標楷體"/>
        </w:rPr>
        <w:t>。</w:t>
      </w:r>
    </w:p>
    <w:p w:rsidR="00AE111A" w:rsidRPr="00AE111A" w:rsidRDefault="00AE111A" w:rsidP="00AE111A">
      <w:pPr>
        <w:numPr>
          <w:ilvl w:val="1"/>
          <w:numId w:val="2"/>
        </w:numPr>
        <w:tabs>
          <w:tab w:val="clear" w:pos="840"/>
          <w:tab w:val="num" w:pos="1211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  <w:color w:val="000000"/>
        </w:rPr>
      </w:pPr>
      <w:r w:rsidRPr="00AE111A">
        <w:rPr>
          <w:rFonts w:ascii="標楷體" w:eastAsia="標楷體" w:hAnsi="標楷體" w:hint="eastAsia"/>
        </w:rPr>
        <w:t>探討「代議民主」與「直接</w:t>
      </w:r>
      <w:r w:rsidRPr="00AE111A">
        <w:rPr>
          <w:rFonts w:ascii="標楷體" w:eastAsia="標楷體" w:hAnsi="標楷體" w:hint="eastAsia"/>
          <w:sz w:val="22"/>
          <w:szCs w:val="22"/>
        </w:rPr>
        <w:t>民主」的意涵及其影響</w:t>
      </w:r>
      <w:r w:rsidRPr="00AE111A">
        <w:rPr>
          <w:rFonts w:ascii="標楷體" w:eastAsia="標楷體" w:hAnsi="標楷體"/>
          <w:sz w:val="22"/>
          <w:szCs w:val="22"/>
        </w:rPr>
        <w:t>。</w:t>
      </w:r>
    </w:p>
    <w:p w:rsidR="00AE111A" w:rsidRPr="00AE111A" w:rsidRDefault="00AE111A" w:rsidP="00AE111A">
      <w:pPr>
        <w:numPr>
          <w:ilvl w:val="1"/>
          <w:numId w:val="2"/>
        </w:numPr>
        <w:tabs>
          <w:tab w:val="clear" w:pos="840"/>
          <w:tab w:val="num" w:pos="1211"/>
        </w:tabs>
        <w:autoSpaceDE w:val="0"/>
        <w:autoSpaceDN w:val="0"/>
        <w:adjustRightInd w:val="0"/>
        <w:snapToGrid w:val="0"/>
        <w:ind w:left="993" w:hanging="513"/>
      </w:pPr>
      <w:r w:rsidRPr="00AE111A">
        <w:rPr>
          <w:rFonts w:ascii="標楷體" w:eastAsia="標楷體" w:hAnsi="標楷體" w:hint="eastAsia"/>
          <w:sz w:val="22"/>
          <w:szCs w:val="22"/>
        </w:rPr>
        <w:t>了</w:t>
      </w:r>
      <w:r w:rsidRPr="00AE111A">
        <w:rPr>
          <w:rFonts w:ascii="標楷體" w:eastAsia="標楷體" w:hAnsi="標楷體"/>
          <w:sz w:val="22"/>
          <w:szCs w:val="22"/>
        </w:rPr>
        <w:t>解</w:t>
      </w:r>
      <w:r w:rsidRPr="00AE111A">
        <w:rPr>
          <w:rFonts w:ascii="標楷體" w:eastAsia="標楷體" w:hAnsi="標楷體" w:hint="eastAsia"/>
          <w:sz w:val="22"/>
          <w:szCs w:val="22"/>
        </w:rPr>
        <w:t>「政治變遷」之型</w:t>
      </w:r>
      <w:r w:rsidRPr="00AE111A">
        <w:rPr>
          <w:rFonts w:ascii="標楷體" w:eastAsia="標楷體" w:hAnsi="標楷體"/>
          <w:sz w:val="22"/>
          <w:szCs w:val="22"/>
        </w:rPr>
        <w:t>式</w:t>
      </w:r>
      <w:r w:rsidRPr="00AE111A">
        <w:rPr>
          <w:rFonts w:ascii="標楷體" w:eastAsia="標楷體" w:hAnsi="標楷體" w:hint="eastAsia"/>
          <w:sz w:val="22"/>
          <w:szCs w:val="22"/>
        </w:rPr>
        <w:t>、「行政機關」</w:t>
      </w:r>
      <w:r w:rsidRPr="00AE111A">
        <w:rPr>
          <w:rFonts w:ascii="標楷體" w:eastAsia="標楷體" w:hAnsi="標楷體"/>
          <w:sz w:val="22"/>
          <w:szCs w:val="22"/>
        </w:rPr>
        <w:t>的</w:t>
      </w:r>
      <w:r w:rsidRPr="00AE111A">
        <w:rPr>
          <w:rFonts w:ascii="標楷體" w:eastAsia="標楷體" w:hAnsi="標楷體" w:hint="eastAsia"/>
          <w:sz w:val="22"/>
          <w:szCs w:val="22"/>
        </w:rPr>
        <w:t>權力內涵及「公共政策」的形成過程</w:t>
      </w:r>
      <w:r w:rsidRPr="00AE111A">
        <w:rPr>
          <w:rFonts w:ascii="標楷體" w:eastAsia="標楷體" w:hAnsi="標楷體"/>
          <w:sz w:val="22"/>
          <w:szCs w:val="22"/>
        </w:rPr>
        <w:t>。</w:t>
      </w:r>
    </w:p>
    <w:p w:rsidR="007E4C24" w:rsidRPr="00EE4651" w:rsidRDefault="007E4C24" w:rsidP="007E4C24">
      <w:pPr>
        <w:pStyle w:val="2"/>
        <w:rPr>
          <w:color w:val="000000"/>
        </w:rPr>
      </w:pPr>
      <w:r w:rsidRPr="00EE4651">
        <w:rPr>
          <w:rFonts w:ascii="標楷體" w:eastAsia="標楷體" w:hAnsi="標楷體" w:hint="eastAsia"/>
          <w:b/>
          <w:color w:val="000000"/>
        </w:rPr>
        <w:t>本學期各單元內涵暨每週教學進度表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639"/>
        <w:gridCol w:w="2519"/>
        <w:gridCol w:w="938"/>
        <w:gridCol w:w="1139"/>
        <w:gridCol w:w="132"/>
        <w:gridCol w:w="358"/>
        <w:gridCol w:w="1419"/>
        <w:gridCol w:w="1326"/>
        <w:gridCol w:w="766"/>
      </w:tblGrid>
      <w:tr w:rsidR="005E2299" w:rsidRPr="00EE4651" w:rsidTr="002437CB">
        <w:trPr>
          <w:gridAfter w:val="1"/>
          <w:wAfter w:w="355" w:type="pct"/>
          <w:trHeight w:val="851"/>
          <w:tblHeader/>
        </w:trPr>
        <w:tc>
          <w:tcPr>
            <w:tcW w:w="254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活動主題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(每週進度)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能力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指標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重大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方法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</w:p>
          <w:p w:rsidR="005E2299" w:rsidRPr="00EE4651" w:rsidRDefault="005E2299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</w:p>
        </w:tc>
      </w:tr>
      <w:tr w:rsidR="00AE111A" w:rsidRPr="00EE4651" w:rsidTr="002437CB">
        <w:trPr>
          <w:gridAfter w:val="1"/>
          <w:wAfter w:w="355" w:type="pct"/>
          <w:trHeight w:val="851"/>
        </w:trPr>
        <w:tc>
          <w:tcPr>
            <w:tcW w:w="254" w:type="pct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60" w:type="pct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「政治」是什麼？〈一〉</w:t>
            </w:r>
          </w:p>
        </w:tc>
        <w:tc>
          <w:tcPr>
            <w:tcW w:w="1168" w:type="pct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1.了解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「政治」是「權力」的執行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2.知道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「政治」是對有「價值」事務的「公共性」分配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7-4-8</w:t>
              </w:r>
            </w:smartTag>
          </w:p>
        </w:tc>
        <w:tc>
          <w:tcPr>
            <w:tcW w:w="589" w:type="pct"/>
            <w:gridSpan w:val="2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「政治」是什麼？〈二〉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1.了解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「政治」是「衝突」解決及「妥協」的過程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2.知道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「政治」是個人或團體追求其利益的互動與競爭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「政治」是什麼？〈三〉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1.了解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「政治」是人們制定「公共政策」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過程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2.知道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「政治」是誰能得到什麼、何時得到、如何得到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決定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1462"/>
        </w:trPr>
        <w:tc>
          <w:tcPr>
            <w:tcW w:w="254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「政治」是什麼？〈四〉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1.了解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「政治」是人們制定「公共政策」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過程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2.知道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「政治」是誰能得到什麼、何時得到、如何得到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的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決定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我們為何要研究「政治學」？〈一〉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明瞭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政治知識可用來描述「政治事實」：例如，那些國家是實施民主政治，那些國家則否。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Chars="42" w:left="501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</w:p>
          <w:p w:rsidR="00AE111A" w:rsidRPr="00A7256E" w:rsidRDefault="00AE111A" w:rsidP="00164878">
            <w:pPr>
              <w:spacing w:line="0" w:lineRule="atLeast"/>
              <w:ind w:leftChars="42" w:left="501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6-4-5</w:t>
              </w:r>
            </w:smartTag>
          </w:p>
          <w:p w:rsidR="00AE111A" w:rsidRPr="00A7256E" w:rsidRDefault="00AE111A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6-4-6</w:t>
              </w:r>
            </w:smartTag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8316A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我們為何要研究「政治學」？〈二〉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能解釋政治是「如何」發生及「為何」發生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Chars="42" w:left="501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</w:p>
          <w:p w:rsidR="00AE111A" w:rsidRPr="00A7256E" w:rsidRDefault="00AE111A" w:rsidP="00164878">
            <w:pPr>
              <w:spacing w:line="0" w:lineRule="atLeast"/>
              <w:ind w:leftChars="42" w:left="501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6-4-5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6-4-6</w:t>
              </w:r>
            </w:smartTag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8316A8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我們為何要研究「政治學」？〈三〉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明白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政治學有「規約」政治世界運作的功能：例如，對「自由」、「平等」等問題提供積極性助益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50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50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6-4-5</w:t>
              </w:r>
            </w:smartTag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/>
                  <w:sz w:val="20"/>
                  <w:szCs w:val="20"/>
                </w:rPr>
                <w:t>6-4-6</w:t>
              </w:r>
            </w:smartTag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第一次評量週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063DB9" w:rsidRDefault="00AE111A" w:rsidP="00090321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第一次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AE111A" w:rsidRPr="00EE4651" w:rsidRDefault="00AE111A" w:rsidP="008316A8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何謂「民族」與「民族主義」？〈一〉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了解「民族」的意義涵蓋「主觀條件因素」與「客觀條件因素」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2.比較「民族」與「族群」的差異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9-4-3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何謂「民族」與「民族主義」？〈二〉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了解「民族」的意義涵蓋「主觀條件因素」與「客觀條件因素」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2.比較「民族」與「族群」的差異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9-4-3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何謂文化民族主義（文化觀點下的分析）？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Chars="42" w:left="101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知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道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文化民族主義的觀點：文化與「我族認同感」的關聯（以西藏人爭取名符其實的自治抗爭活動為例）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9-4-3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何謂政治民族主義（政治觀點下的分析）？〈一〉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Chars="63" w:left="151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了解政治民族主義的觀點：現代「民族」的存在是人為所創造出的一種「想像的共同體」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AE111A" w:rsidRPr="00A7256E" w:rsidRDefault="00AE111A" w:rsidP="00164878">
            <w:pPr>
              <w:spacing w:line="280" w:lineRule="exact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9-4-3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何謂政治民族主義（政治觀點下的分析）？〈二〉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0" w:lineRule="atLeast"/>
              <w:ind w:leftChars="63" w:left="151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了解政治民族主義的觀點：現代「民族」的存在是人為所創造出的一種「想像的共同體」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AE111A" w:rsidRPr="00A7256E" w:rsidRDefault="00AE111A" w:rsidP="00164878">
            <w:pPr>
              <w:spacing w:line="280" w:lineRule="exact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9-4-3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111A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EE4651" w:rsidRDefault="00AE111A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第二次評量週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E111A" w:rsidRPr="00A7256E" w:rsidRDefault="00AE111A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E111A" w:rsidRPr="00063DB9" w:rsidRDefault="00AE111A" w:rsidP="00EE4651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第二次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AE111A" w:rsidRPr="00EE4651" w:rsidRDefault="00AE111A" w:rsidP="00025CC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jc w:val="both"/>
              <w:rPr>
                <w:rFonts w:ascii="Britannic Bold" w:hAnsi="Britannic Bold"/>
                <w:bCs/>
                <w:snapToGrid w:val="0"/>
                <w:kern w:val="0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「政治變遷」的意義及其型式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1.認識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「政治變遷」的原因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2.了解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「政治變遷」的方向</w:t>
            </w:r>
            <w:r w:rsidRPr="00A7256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6-4-7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jc w:val="both"/>
              <w:rPr>
                <w:rFonts w:ascii="Britannic Bold" w:hAnsi="Britannic Bold"/>
                <w:bCs/>
                <w:snapToGrid w:val="0"/>
                <w:kern w:val="0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「政治變遷」的意義及其型式</w:t>
            </w:r>
            <w:r w:rsidRPr="00A7256E">
              <w:rPr>
                <w:rFonts w:ascii="Britannic Bold" w:hAnsi="Britannic Bold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認識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「政治變遷」的型式：改革（reforn）。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ind w:leftChars="42" w:left="101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6-4-7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「政治變遷」的意義及其型式</w:t>
            </w:r>
            <w:r w:rsidRPr="00A7256E">
              <w:rPr>
                <w:rFonts w:ascii="Britannic Bold" w:hAnsi="Britannic Bold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/>
                <w:sz w:val="20"/>
                <w:szCs w:val="20"/>
              </w:rPr>
              <w:t>認識</w:t>
            </w: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「政治變遷」的型式：革命（revolution）。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ind w:leftChars="42" w:left="101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</w:p>
          <w:p w:rsidR="00180CDC" w:rsidRPr="00A7256E" w:rsidRDefault="00180CDC" w:rsidP="00164878">
            <w:pPr>
              <w:spacing w:line="28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6-4-7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「行政機關」的權力內涵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1.了解「行政機關」之「領導決策權」。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2.了解「行政機關」之「發佈法令權」。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6-4-7</w:t>
              </w:r>
            </w:smartTag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「行政機關」的權力內涵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1.了解「行政機關」之「指揮與依法推動行政之權」。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2.了解「行政機關」之「緊急應變之權」。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7256E">
                <w:rPr>
                  <w:rFonts w:ascii="標楷體" w:eastAsia="標楷體" w:hAnsi="標楷體" w:hint="eastAsia"/>
                  <w:sz w:val="20"/>
                  <w:szCs w:val="20"/>
                </w:rPr>
                <w:t>6-4-7</w:t>
              </w:r>
            </w:smartTag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從公共問題到「公共政策」的形成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1.了解何謂「公共政策」及其形成的流程。</w:t>
            </w:r>
          </w:p>
          <w:p w:rsidR="00180CDC" w:rsidRPr="00A7256E" w:rsidRDefault="00180CDC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2.了解影響「公共政策」有那些可行的管道及方式。</w:t>
            </w:r>
          </w:p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80CDC" w:rsidRPr="00EE4651" w:rsidTr="002437C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EE4651" w:rsidRDefault="00180CDC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56E">
              <w:rPr>
                <w:rFonts w:ascii="標楷體" w:eastAsia="標楷體" w:hAnsi="標楷體" w:hint="eastAsia"/>
                <w:sz w:val="20"/>
                <w:szCs w:val="20"/>
              </w:rPr>
              <w:t>第三次評量週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A7256E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D77E7C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D77E7C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7E7C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D77E7C" w:rsidRDefault="00180CDC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CDC" w:rsidRPr="00D77E7C" w:rsidRDefault="00180CDC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7E7C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0CDC" w:rsidRPr="00063DB9" w:rsidRDefault="00180CDC" w:rsidP="00A442C6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第三次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180CDC" w:rsidRPr="00EE4651" w:rsidRDefault="00180CDC" w:rsidP="00C951BF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E4C24" w:rsidRPr="00EE4651" w:rsidTr="00C9455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5"/>
          <w:wBefore w:w="3145" w:type="pct"/>
          <w:trHeight w:val="414"/>
        </w:trPr>
        <w:tc>
          <w:tcPr>
            <w:tcW w:w="1855" w:type="pct"/>
            <w:gridSpan w:val="5"/>
          </w:tcPr>
          <w:p w:rsidR="007E4C24" w:rsidRDefault="007E4C24" w:rsidP="00C94558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9E7727" w:rsidRDefault="009E7727" w:rsidP="00C94558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9E7727" w:rsidRDefault="009E7727" w:rsidP="00C94558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  <w:p w:rsidR="009E7727" w:rsidRPr="00EE4651" w:rsidRDefault="009E7727" w:rsidP="00C94558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</w:tc>
      </w:tr>
    </w:tbl>
    <w:p w:rsidR="00B32EF5" w:rsidRDefault="00B32EF5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B32EF5" w:rsidRDefault="00B32EF5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 w:hint="eastAsia"/>
          <w:b/>
          <w:color w:val="000000"/>
          <w:sz w:val="28"/>
          <w:szCs w:val="36"/>
        </w:rPr>
      </w:pPr>
    </w:p>
    <w:p w:rsidR="003D0616" w:rsidRDefault="003D0616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B32EF5" w:rsidRDefault="00B32EF5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B32EF5" w:rsidRDefault="00B32EF5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B32EF5" w:rsidRDefault="00B32EF5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</w:p>
    <w:p w:rsidR="002437CB" w:rsidRPr="00EE4651" w:rsidRDefault="002437CB" w:rsidP="002437CB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lastRenderedPageBreak/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E646BD" w:rsidRPr="00AE111A" w:rsidRDefault="00E646BD" w:rsidP="00E646BD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8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2</w:t>
      </w:r>
      <w:r w:rsidRPr="00AE111A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 xml:space="preserve">學期 </w:t>
      </w:r>
      <w:r w:rsidRPr="00AE111A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八</w:t>
      </w:r>
      <w:r w:rsidRPr="00AE111A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AE111A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AE111A">
        <w:rPr>
          <w:rFonts w:ascii="標楷體" w:eastAsia="標楷體" w:hAnsi="標楷體" w:hint="eastAsia"/>
          <w:b/>
          <w:sz w:val="28"/>
          <w:szCs w:val="36"/>
        </w:rPr>
        <w:t xml:space="preserve">彈性學習 </w:t>
      </w:r>
      <w:r w:rsidRPr="00AE111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共群生活 </w:t>
      </w:r>
      <w:r w:rsidRPr="00AE111A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2437CB" w:rsidRPr="00EE4651" w:rsidRDefault="00CB1A4E" w:rsidP="002437CB">
      <w:pPr>
        <w:ind w:right="57"/>
        <w:rPr>
          <w:rFonts w:ascii="標楷體" w:eastAsia="標楷體" w:hAnsi="標楷體"/>
          <w:color w:val="000000"/>
          <w:szCs w:val="20"/>
        </w:rPr>
      </w:pPr>
      <w:r w:rsidRPr="00CB1A4E">
        <w:rPr>
          <w:rFonts w:ascii="標楷體" w:eastAsia="標楷體" w:hAnsi="標楷體" w:hint="eastAsia"/>
          <w:color w:val="000000"/>
          <w:szCs w:val="20"/>
        </w:rPr>
        <w:t>編撰教師:</w:t>
      </w:r>
      <w:r w:rsidR="008322F9" w:rsidRPr="008322F9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="008322F9" w:rsidRPr="00912890">
        <w:rPr>
          <w:rFonts w:ascii="標楷體" w:eastAsia="標楷體" w:hAnsi="標楷體" w:hint="eastAsia"/>
          <w:color w:val="000000"/>
          <w:szCs w:val="20"/>
          <w:u w:val="single"/>
        </w:rPr>
        <w:t>張</w:t>
      </w:r>
      <w:r w:rsidR="008322F9">
        <w:rPr>
          <w:rFonts w:ascii="標楷體" w:eastAsia="標楷體" w:hAnsi="標楷體" w:hint="eastAsia"/>
          <w:color w:val="000000"/>
          <w:szCs w:val="20"/>
          <w:u w:val="single"/>
        </w:rPr>
        <w:t>○</w:t>
      </w:r>
      <w:r w:rsidR="008322F9" w:rsidRPr="00912890">
        <w:rPr>
          <w:rFonts w:ascii="標楷體" w:eastAsia="標楷體" w:hAnsi="標楷體" w:hint="eastAsia"/>
          <w:color w:val="000000"/>
          <w:szCs w:val="20"/>
          <w:u w:val="single"/>
        </w:rPr>
        <w:t>榮</w:t>
      </w:r>
      <w:r w:rsidR="008322F9" w:rsidRPr="00EE4651">
        <w:rPr>
          <w:rFonts w:ascii="標楷體" w:eastAsia="標楷體" w:hint="eastAsia"/>
          <w:b/>
          <w:color w:val="000000"/>
          <w:szCs w:val="28"/>
        </w:rPr>
        <w:t>、</w:t>
      </w:r>
      <w:r w:rsidR="008322F9" w:rsidRPr="00A7256E">
        <w:rPr>
          <w:rFonts w:ascii="標楷體" w:eastAsia="標楷體" w:hint="eastAsia"/>
          <w:color w:val="000000"/>
          <w:szCs w:val="28"/>
          <w:u w:val="single"/>
        </w:rPr>
        <w:t>羅</w:t>
      </w:r>
      <w:r w:rsidR="008322F9">
        <w:rPr>
          <w:rFonts w:ascii="標楷體" w:eastAsia="標楷體" w:hint="eastAsia"/>
          <w:color w:val="000000"/>
          <w:szCs w:val="28"/>
          <w:u w:val="single"/>
        </w:rPr>
        <w:t>○</w:t>
      </w:r>
      <w:r w:rsidR="008322F9" w:rsidRPr="00A7256E">
        <w:rPr>
          <w:rFonts w:ascii="標楷體" w:eastAsia="標楷體" w:hint="eastAsia"/>
          <w:color w:val="000000"/>
          <w:szCs w:val="28"/>
          <w:u w:val="single"/>
        </w:rPr>
        <w:t>美</w:t>
      </w:r>
    </w:p>
    <w:p w:rsidR="00E646BD" w:rsidRPr="00276170" w:rsidRDefault="00E646BD" w:rsidP="00E646B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color w:val="000000"/>
        </w:rPr>
      </w:pPr>
      <w:r w:rsidRPr="00276170">
        <w:rPr>
          <w:rFonts w:ascii="標楷體" w:eastAsia="標楷體" w:hAnsi="標楷體" w:hint="eastAsia"/>
          <w:b/>
          <w:color w:val="000000"/>
        </w:rPr>
        <w:t>本學期學習目標</w:t>
      </w:r>
    </w:p>
    <w:p w:rsidR="00E646BD" w:rsidRPr="00276170" w:rsidRDefault="00E646BD" w:rsidP="00E646BD">
      <w:pPr>
        <w:rPr>
          <w:rFonts w:ascii="標楷體" w:eastAsia="標楷體" w:hAnsi="標楷體"/>
          <w:color w:val="000000"/>
        </w:rPr>
      </w:pPr>
      <w:r>
        <w:rPr>
          <w:rFonts w:hint="eastAsia"/>
          <w:color w:val="000000"/>
        </w:rPr>
        <w:t xml:space="preserve">    </w:t>
      </w:r>
      <w:r w:rsidRPr="00276170">
        <w:rPr>
          <w:rFonts w:ascii="標楷體" w:eastAsia="標楷體" w:hAnsi="標楷體" w:hint="eastAsia"/>
          <w:color w:val="000000"/>
        </w:rPr>
        <w:t xml:space="preserve">(一)認識法之產生的各種不同類型的淵源。 </w:t>
      </w:r>
    </w:p>
    <w:p w:rsidR="00E646BD" w:rsidRPr="00276170" w:rsidRDefault="00E646BD" w:rsidP="00E646BD">
      <w:pPr>
        <w:ind w:firstLineChars="200" w:firstLine="480"/>
        <w:rPr>
          <w:rFonts w:ascii="標楷體" w:eastAsia="標楷體" w:hAnsi="標楷體"/>
          <w:color w:val="000000"/>
        </w:rPr>
      </w:pPr>
      <w:r w:rsidRPr="00276170">
        <w:rPr>
          <w:rFonts w:ascii="標楷體" w:eastAsia="標楷體" w:hAnsi="標楷體" w:hint="eastAsia"/>
          <w:color w:val="000000"/>
        </w:rPr>
        <w:t xml:space="preserve">(二)了解法與其他社會生活領域的關係及關聯。 </w:t>
      </w:r>
    </w:p>
    <w:p w:rsidR="00E646BD" w:rsidRPr="00276170" w:rsidRDefault="00E646BD" w:rsidP="00E646BD">
      <w:pPr>
        <w:ind w:firstLineChars="200" w:firstLine="480"/>
        <w:rPr>
          <w:rFonts w:ascii="標楷體" w:eastAsia="標楷體" w:hAnsi="標楷體"/>
          <w:color w:val="000000"/>
        </w:rPr>
      </w:pPr>
      <w:r w:rsidRPr="00276170">
        <w:rPr>
          <w:rFonts w:ascii="標楷體" w:eastAsia="標楷體" w:hAnsi="標楷體" w:hint="eastAsia"/>
          <w:color w:val="000000"/>
        </w:rPr>
        <w:t>(三)了解各種法律主要分類的依據及常見的分類方式。</w:t>
      </w:r>
    </w:p>
    <w:p w:rsidR="00E646BD" w:rsidRPr="00276170" w:rsidRDefault="00E646BD" w:rsidP="00E646BD">
      <w:pPr>
        <w:ind w:firstLineChars="200" w:firstLine="480"/>
        <w:rPr>
          <w:rFonts w:ascii="標楷體" w:eastAsia="標楷體" w:hAnsi="標楷體"/>
          <w:color w:val="000000"/>
        </w:rPr>
      </w:pPr>
      <w:r w:rsidRPr="00276170">
        <w:rPr>
          <w:rFonts w:ascii="標楷體" w:eastAsia="標楷體" w:hAnsi="標楷體" w:hint="eastAsia"/>
          <w:color w:val="000000"/>
        </w:rPr>
        <w:t>(四)分析不同法律分類方式之優缺點並能舉例說明。</w:t>
      </w:r>
    </w:p>
    <w:p w:rsidR="00E646BD" w:rsidRPr="009864E9" w:rsidRDefault="00E646BD" w:rsidP="00E646BD">
      <w:pPr>
        <w:autoSpaceDE w:val="0"/>
        <w:autoSpaceDN w:val="0"/>
        <w:adjustRightInd w:val="0"/>
        <w:snapToGrid w:val="0"/>
        <w:rPr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9864E9">
        <w:rPr>
          <w:rFonts w:ascii="標楷體" w:eastAsia="標楷體" w:hAnsi="標楷體" w:hint="eastAsia"/>
          <w:b/>
          <w:color w:val="000000"/>
        </w:rPr>
        <w:t>本學期各單元內涵暨每週教學進度表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639"/>
        <w:gridCol w:w="2519"/>
        <w:gridCol w:w="938"/>
        <w:gridCol w:w="1139"/>
        <w:gridCol w:w="132"/>
        <w:gridCol w:w="358"/>
        <w:gridCol w:w="1419"/>
        <w:gridCol w:w="1326"/>
        <w:gridCol w:w="766"/>
      </w:tblGrid>
      <w:tr w:rsidR="009E7727" w:rsidRPr="00EE4651" w:rsidTr="00CC0526">
        <w:trPr>
          <w:gridAfter w:val="1"/>
          <w:wAfter w:w="355" w:type="pct"/>
          <w:trHeight w:val="851"/>
          <w:tblHeader/>
        </w:trPr>
        <w:tc>
          <w:tcPr>
            <w:tcW w:w="254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活動主題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(每週進度)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學習目標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能力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指標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重大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方法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</w:p>
          <w:p w:rsidR="009E7727" w:rsidRPr="00EE4651" w:rsidRDefault="009E7727" w:rsidP="0009032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4651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</w:p>
        </w:tc>
      </w:tr>
      <w:tr w:rsidR="00CB1A4E" w:rsidRPr="00EE4651" w:rsidTr="006D4456">
        <w:trPr>
          <w:gridAfter w:val="1"/>
          <w:wAfter w:w="355" w:type="pct"/>
          <w:trHeight w:val="851"/>
        </w:trPr>
        <w:tc>
          <w:tcPr>
            <w:tcW w:w="254" w:type="pct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60" w:type="pct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法的淵源之一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1.知道「天理」、「自然律」的意涵。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法律的淵源與「天理」、「自然律」相關。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>。</w:t>
            </w:r>
          </w:p>
        </w:tc>
        <w:tc>
          <w:tcPr>
            <w:tcW w:w="589" w:type="pct"/>
            <w:gridSpan w:val="2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vAlign w:val="center"/>
          </w:tcPr>
          <w:p w:rsidR="00CB1A4E" w:rsidRPr="007216A4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216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CB1A4E" w:rsidRPr="007216A4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268C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CB1A4E" w:rsidRPr="007216A4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6A4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6D4456">
        <w:trPr>
          <w:gridAfter w:val="1"/>
          <w:wAfter w:w="355" w:type="pct"/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6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60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法的淵源之二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1.知道「神啟」、「宗教教義」的意涵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法律的淵源與「神啟」、「宗教教義」相關。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>。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6D4456">
        <w:trPr>
          <w:gridAfter w:val="1"/>
          <w:wAfter w:w="355" w:type="pct"/>
          <w:trHeight w:val="851"/>
        </w:trPr>
        <w:tc>
          <w:tcPr>
            <w:tcW w:w="254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法的淵源之三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1.知道「習慣」、「傳統」的意涵。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法律的淵源與「習慣」、「傳統」相關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>。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6D4456">
        <w:trPr>
          <w:gridAfter w:val="1"/>
          <w:wAfter w:w="355" w:type="pct"/>
          <w:trHeight w:val="1462"/>
        </w:trPr>
        <w:tc>
          <w:tcPr>
            <w:tcW w:w="254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法的淵源之四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1.知道「主權者的意思表示」之意涵。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法律的淵源與「主權者的意思表示」相關。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6D4456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認識法與道德生活的關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9864E9">
                <w:rPr>
                  <w:rFonts w:hint="eastAsia"/>
                  <w:sz w:val="20"/>
                  <w:szCs w:val="20"/>
                </w:rPr>
                <w:t>8-4-1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B1A4E" w:rsidRPr="009864E9" w:rsidRDefault="00CB1A4E" w:rsidP="008A2E74">
            <w:pPr>
              <w:spacing w:line="0" w:lineRule="atLeast"/>
              <w:ind w:firstLineChars="100" w:firstLine="200"/>
              <w:jc w:val="both"/>
              <w:rPr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6D4456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認識法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與宗教生活的關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CC0526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第一次評量複習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3D0616" w:rsidP="00164878">
            <w:pPr>
              <w:spacing w:line="340" w:lineRule="exact"/>
              <w:rPr>
                <w:rFonts w:ascii="標楷體" w:eastAsia="標楷體" w:hAnsi="標楷體"/>
                <w:i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063DB9" w:rsidRDefault="00CB1A4E" w:rsidP="008A294D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第一次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CB1A4E" w:rsidRPr="00063DB9" w:rsidRDefault="00CB1A4E" w:rsidP="00A17453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認識法與文化生活的關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A17453" w:rsidRDefault="00CB1A4E" w:rsidP="00090321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認識法與政治生活的關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認識法與經濟生活的關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bCs/>
                <w:sz w:val="20"/>
                <w:szCs w:val="20"/>
              </w:rPr>
              <w:t>法律與其他社會生活領域的關係</w:t>
            </w:r>
          </w:p>
          <w:p w:rsidR="00CB1A4E" w:rsidRPr="009864E9" w:rsidRDefault="00CB1A4E" w:rsidP="0016487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認識法與科技生活的關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聯及互動。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法律的分類（制定法與非制定法）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「制定法」的意義與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舉例之。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法律的分類（制定法與非制定法）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「制定法」的意義及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其優缺點。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3F423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第二次評量複習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063DB9" w:rsidRDefault="00CB1A4E" w:rsidP="00090321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第二次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CB1A4E" w:rsidRPr="00EE4651" w:rsidRDefault="00CB1A4E" w:rsidP="008A294D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2C181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法律的分類（制定法與非制定法）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Chars="42" w:left="151" w:hangingChars="25" w:hanging="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「非制定法」的意義與舉例之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CB1A4E" w:rsidRPr="009864E9" w:rsidRDefault="00CB1A4E" w:rsidP="00164878">
            <w:pPr>
              <w:spacing w:line="280" w:lineRule="exact"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2C181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法律的分類（制定法與非制定法）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「非制定法」的意義及其優缺點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2C181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法律的分類（普通法與特別法）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知道「普通法」的意義與舉例之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2C181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法律的分類（普通法與特別法）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1.知道「特別法」的意義與舉例之。</w:t>
            </w:r>
          </w:p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2.了解在法之適用上「特別法」優位於「普通法」的原則並舉例說明。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2C181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法律的分類（實體法與程序法）</w:t>
            </w:r>
          </w:p>
          <w:p w:rsidR="00CB1A4E" w:rsidRPr="009864E9" w:rsidRDefault="00CB1A4E" w:rsidP="0016487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/>
                <w:sz w:val="20"/>
                <w:szCs w:val="20"/>
              </w:rPr>
              <w:t>認識</w:t>
            </w: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「實體法」與「程序法」的意義及差異與舉例之</w:t>
            </w:r>
            <w:r w:rsidRPr="009864E9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9864E9">
                <w:rPr>
                  <w:sz w:val="20"/>
                  <w:szCs w:val="20"/>
                </w:rPr>
                <w:t>6-4-4</w:t>
              </w:r>
            </w:smartTag>
          </w:p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6"/>
              </w:smartTagPr>
              <w:r w:rsidRPr="009864E9">
                <w:rPr>
                  <w:rFonts w:hint="eastAsia"/>
                  <w:sz w:val="20"/>
                  <w:szCs w:val="20"/>
                </w:rPr>
                <w:t>6-4-5</w:t>
              </w:r>
            </w:smartTag>
            <w:r w:rsidRPr="0098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CC0526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1A4E" w:rsidRPr="00EE4651" w:rsidTr="00C5249B">
        <w:trPr>
          <w:gridAfter w:val="1"/>
          <w:wAfter w:w="355" w:type="pct"/>
          <w:trHeight w:val="861"/>
        </w:trPr>
        <w:tc>
          <w:tcPr>
            <w:tcW w:w="25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EE4651" w:rsidRDefault="00CB1A4E" w:rsidP="0009032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第三次評量複習</w:t>
            </w:r>
          </w:p>
        </w:tc>
        <w:tc>
          <w:tcPr>
            <w:tcW w:w="1168" w:type="pct"/>
            <w:tcBorders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B1A4E" w:rsidRPr="009864E9" w:rsidRDefault="00CB1A4E" w:rsidP="00164878">
            <w:pPr>
              <w:spacing w:line="0" w:lineRule="atLeast"/>
              <w:ind w:left="500" w:hangingChars="250" w:hanging="500"/>
              <w:jc w:val="both"/>
              <w:rPr>
                <w:sz w:val="20"/>
                <w:szCs w:val="20"/>
              </w:rPr>
            </w:pPr>
            <w:r w:rsidRPr="0098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8A2E74">
            <w:pPr>
              <w:spacing w:line="340" w:lineRule="exact"/>
              <w:ind w:firstLineChars="50" w:firstLine="100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16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教師觀察</w:t>
            </w:r>
          </w:p>
          <w:p w:rsidR="00CB1A4E" w:rsidRPr="009864E9" w:rsidRDefault="00CB1A4E" w:rsidP="00164878">
            <w:pPr>
              <w:spacing w:line="340" w:lineRule="exact"/>
              <w:ind w:firstLineChars="100" w:firstLine="200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9864E9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61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B1A4E" w:rsidRPr="00063DB9" w:rsidRDefault="00CB1A4E" w:rsidP="00090321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lang w:eastAsia="zh-CN"/>
              </w:rPr>
              <w:t>第三次</w:t>
            </w:r>
            <w:r w:rsidRPr="00063DB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段考</w:t>
            </w:r>
          </w:p>
          <w:p w:rsidR="00CB1A4E" w:rsidRPr="00EE4651" w:rsidRDefault="00CB1A4E" w:rsidP="00A17453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C0526" w:rsidRPr="00EE4651" w:rsidTr="00CC052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5"/>
          <w:wBefore w:w="3145" w:type="pct"/>
          <w:trHeight w:val="100"/>
        </w:trPr>
        <w:tc>
          <w:tcPr>
            <w:tcW w:w="1855" w:type="pct"/>
            <w:gridSpan w:val="5"/>
          </w:tcPr>
          <w:p w:rsidR="00CC0526" w:rsidRPr="00EE4651" w:rsidRDefault="00CC0526" w:rsidP="00090321">
            <w:pPr>
              <w:spacing w:line="340" w:lineRule="exact"/>
              <w:rPr>
                <w:rFonts w:ascii="新細明體" w:hAnsi="新細明體"/>
                <w:b/>
                <w:color w:val="000000"/>
                <w:kern w:val="0"/>
                <w:szCs w:val="32"/>
              </w:rPr>
            </w:pPr>
          </w:p>
        </w:tc>
      </w:tr>
    </w:tbl>
    <w:p w:rsidR="00090321" w:rsidRDefault="00090321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9E7727" w:rsidRDefault="009E7727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9E7727" w:rsidRDefault="009E7727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9E7727" w:rsidRDefault="009E7727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9E7727" w:rsidRDefault="009E7727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B32EF5" w:rsidRDefault="00B32EF5" w:rsidP="007E4C24">
      <w:pPr>
        <w:spacing w:line="340" w:lineRule="exact"/>
        <w:rPr>
          <w:rFonts w:ascii="標楷體" w:eastAsia="標楷體" w:hAnsi="標楷體"/>
          <w:b/>
          <w:color w:val="000000"/>
          <w:kern w:val="0"/>
          <w:szCs w:val="32"/>
        </w:rPr>
      </w:pPr>
    </w:p>
    <w:p w:rsidR="00B26147" w:rsidRPr="00EE4651" w:rsidRDefault="00B26147" w:rsidP="009E7727">
      <w:pPr>
        <w:spacing w:line="400" w:lineRule="exact"/>
        <w:ind w:right="57"/>
        <w:rPr>
          <w:color w:val="000000"/>
        </w:rPr>
      </w:pPr>
      <w:bookmarkStart w:id="0" w:name="_GoBack"/>
      <w:bookmarkEnd w:id="0"/>
    </w:p>
    <w:sectPr w:rsidR="00B26147" w:rsidRPr="00EE4651" w:rsidSect="007E4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B6" w:rsidRDefault="00E10BB6" w:rsidP="00F97F72">
      <w:r>
        <w:separator/>
      </w:r>
    </w:p>
  </w:endnote>
  <w:endnote w:type="continuationSeparator" w:id="0">
    <w:p w:rsidR="00E10BB6" w:rsidRDefault="00E10BB6" w:rsidP="00F9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B6" w:rsidRDefault="00E10BB6" w:rsidP="00F97F72">
      <w:r>
        <w:separator/>
      </w:r>
    </w:p>
  </w:footnote>
  <w:footnote w:type="continuationSeparator" w:id="0">
    <w:p w:rsidR="00E10BB6" w:rsidRDefault="00E10BB6" w:rsidP="00F9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F4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44802009"/>
    <w:multiLevelType w:val="hybridMultilevel"/>
    <w:tmpl w:val="52EA6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6FED37A9"/>
    <w:multiLevelType w:val="hybridMultilevel"/>
    <w:tmpl w:val="DE4ED3C0"/>
    <w:lvl w:ilvl="0" w:tplc="1A349BAE">
      <w:start w:val="1"/>
      <w:numFmt w:val="taiwaneseCountingThousand"/>
      <w:lvlText w:val="%1、"/>
      <w:lvlJc w:val="left"/>
      <w:pPr>
        <w:ind w:left="51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E13300"/>
    <w:multiLevelType w:val="hybridMultilevel"/>
    <w:tmpl w:val="FC363B54"/>
    <w:lvl w:ilvl="0" w:tplc="A2F2C34E">
      <w:start w:val="1"/>
      <w:numFmt w:val="taiwaneseCountingThousand"/>
      <w:lvlText w:val="%1、"/>
      <w:lvlJc w:val="left"/>
      <w:pPr>
        <w:ind w:left="514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24"/>
    <w:rsid w:val="00025CC1"/>
    <w:rsid w:val="00063DB9"/>
    <w:rsid w:val="00090321"/>
    <w:rsid w:val="000A2CAD"/>
    <w:rsid w:val="00180CDC"/>
    <w:rsid w:val="00215EE1"/>
    <w:rsid w:val="002437CB"/>
    <w:rsid w:val="00307FF5"/>
    <w:rsid w:val="003D0616"/>
    <w:rsid w:val="005E2299"/>
    <w:rsid w:val="005F5570"/>
    <w:rsid w:val="007B2B16"/>
    <w:rsid w:val="007E4C24"/>
    <w:rsid w:val="008316A8"/>
    <w:rsid w:val="008322F9"/>
    <w:rsid w:val="008A294D"/>
    <w:rsid w:val="008A2E74"/>
    <w:rsid w:val="008A6302"/>
    <w:rsid w:val="009E7727"/>
    <w:rsid w:val="00A17453"/>
    <w:rsid w:val="00A442C6"/>
    <w:rsid w:val="00A761EF"/>
    <w:rsid w:val="00AE111A"/>
    <w:rsid w:val="00B26147"/>
    <w:rsid w:val="00B32EF5"/>
    <w:rsid w:val="00B629B5"/>
    <w:rsid w:val="00B76EE9"/>
    <w:rsid w:val="00B93BF9"/>
    <w:rsid w:val="00C94558"/>
    <w:rsid w:val="00C951BF"/>
    <w:rsid w:val="00CB1A4E"/>
    <w:rsid w:val="00CC0526"/>
    <w:rsid w:val="00DC7883"/>
    <w:rsid w:val="00E10BB6"/>
    <w:rsid w:val="00E5775E"/>
    <w:rsid w:val="00E646BD"/>
    <w:rsid w:val="00E715EB"/>
    <w:rsid w:val="00EC125F"/>
    <w:rsid w:val="00EE4651"/>
    <w:rsid w:val="00F67B9B"/>
    <w:rsid w:val="00F97F72"/>
    <w:rsid w:val="00FA6400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7E4C24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7E4C2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97F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97F7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97F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97F72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B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7E4C24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7E4C2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97F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97F7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97F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97F7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北安國中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2019-04-25T14:12:00Z</dcterms:created>
  <dcterms:modified xsi:type="dcterms:W3CDTF">2019-04-26T10:32:00Z</dcterms:modified>
</cp:coreProperties>
</file>